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0"/>
      </w:tblGrid>
      <w:tr w:rsidR="00F716C3" w:rsidRPr="00144F43" w:rsidTr="00EF1A14">
        <w:trPr>
          <w:trHeight w:val="300"/>
        </w:trPr>
        <w:tc>
          <w:tcPr>
            <w:tcW w:w="10550" w:type="dxa"/>
            <w:shd w:val="clear" w:color="auto" w:fill="auto"/>
            <w:vAlign w:val="bottom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03"/>
              <w:gridCol w:w="607"/>
            </w:tblGrid>
            <w:tr w:rsidR="00F716C3" w:rsidRPr="00144F43" w:rsidTr="00EF1A14">
              <w:trPr>
                <w:trHeight w:val="300"/>
              </w:trPr>
              <w:tc>
                <w:tcPr>
                  <w:tcW w:w="9803" w:type="dxa"/>
                  <w:shd w:val="clear" w:color="auto" w:fill="auto"/>
                  <w:vAlign w:val="bottom"/>
                </w:tcPr>
                <w:p w:rsidR="00F716C3" w:rsidRPr="00144F43" w:rsidRDefault="00F716C3" w:rsidP="008C22F1">
                  <w:pPr>
                    <w:pStyle w:val="Prrafodelista"/>
                    <w:spacing w:line="360" w:lineRule="auto"/>
                    <w:ind w:left="1068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  <w:vAlign w:val="bottom"/>
                </w:tcPr>
                <w:p w:rsidR="00F716C3" w:rsidRPr="00144F43" w:rsidRDefault="00F716C3" w:rsidP="00EF1A14">
                  <w:pPr>
                    <w:snapToGrid w:val="0"/>
                    <w:spacing w:after="0" w:line="36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F716C3" w:rsidRDefault="00F716C3" w:rsidP="00C421B2">
            <w:pPr>
              <w:pStyle w:val="Textoindependiente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</w:rPr>
            </w:pPr>
            <w:r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32"/>
                <w:szCs w:val="32"/>
              </w:rPr>
              <w:t>EL DILEMA PRESUPUESTAL</w:t>
            </w:r>
          </w:p>
          <w:p w:rsidR="00C421B2" w:rsidRPr="00144F43" w:rsidRDefault="00C421B2" w:rsidP="00C421B2">
            <w:pPr>
              <w:pStyle w:val="Textoindependiente"/>
              <w:spacing w:after="0"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224D8" w:rsidRPr="00C421B2" w:rsidRDefault="008224D8" w:rsidP="008224D8">
            <w:pPr>
              <w:pStyle w:val="Textoindependiente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421B2">
              <w:rPr>
                <w:rFonts w:ascii="Arial" w:hAnsi="Arial" w:cs="Arial"/>
                <w:b/>
                <w:i/>
                <w:sz w:val="24"/>
                <w:szCs w:val="24"/>
              </w:rPr>
              <w:t>Introducción</w:t>
            </w:r>
          </w:p>
          <w:p w:rsidR="00C421B2" w:rsidRPr="00C421B2" w:rsidRDefault="00C421B2" w:rsidP="00C421B2">
            <w:pPr>
              <w:pStyle w:val="Textoindependiente"/>
              <w:spacing w:line="360" w:lineRule="auto"/>
              <w:ind w:left="10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16C3" w:rsidRPr="00144F43" w:rsidRDefault="00557A44" w:rsidP="008224D8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82F8A">
              <w:rPr>
                <w:rFonts w:ascii="Arial" w:hAnsi="Arial" w:cs="Arial"/>
                <w:sz w:val="24"/>
                <w:szCs w:val="24"/>
              </w:rPr>
              <w:t>Este trabajo actualiza un documento del Instituto Cuesta Duarte elaborado en relación al Presupuesto quinquenal y la rendición de</w:t>
            </w:r>
            <w:r>
              <w:rPr>
                <w:rFonts w:ascii="Arial" w:hAnsi="Arial" w:cs="Arial"/>
                <w:sz w:val="24"/>
                <w:szCs w:val="24"/>
              </w:rPr>
              <w:t xml:space="preserve"> Cuentas de 2016, </w:t>
            </w:r>
            <w:r w:rsidRPr="00B82F8A">
              <w:rPr>
                <w:rFonts w:ascii="Arial" w:hAnsi="Arial" w:cs="Arial"/>
                <w:sz w:val="24"/>
                <w:szCs w:val="24"/>
              </w:rPr>
              <w:t xml:space="preserve">que mostraba las </w:t>
            </w:r>
            <w:r>
              <w:rPr>
                <w:rFonts w:ascii="Arial" w:hAnsi="Arial" w:cs="Arial"/>
                <w:sz w:val="24"/>
                <w:szCs w:val="24"/>
              </w:rPr>
              <w:t xml:space="preserve">dificultades </w:t>
            </w:r>
            <w:r w:rsidRPr="00B82F8A">
              <w:rPr>
                <w:rFonts w:ascii="Arial" w:hAnsi="Arial" w:cs="Arial"/>
                <w:sz w:val="24"/>
                <w:szCs w:val="24"/>
              </w:rPr>
              <w:t xml:space="preserve">que, </w:t>
            </w:r>
            <w:r>
              <w:rPr>
                <w:rFonts w:ascii="Arial" w:hAnsi="Arial" w:cs="Arial"/>
                <w:sz w:val="24"/>
                <w:szCs w:val="24"/>
              </w:rPr>
              <w:t xml:space="preserve">el gobierno tenía  </w:t>
            </w:r>
            <w:r w:rsidRPr="00B82F8A">
              <w:rPr>
                <w:rFonts w:ascii="Arial" w:hAnsi="Arial" w:cs="Arial"/>
                <w:sz w:val="24"/>
                <w:szCs w:val="24"/>
              </w:rPr>
              <w:t>para el cumplimiento del gasto social y laboral</w:t>
            </w:r>
            <w:r>
              <w:rPr>
                <w:rFonts w:ascii="Arial" w:hAnsi="Arial" w:cs="Arial"/>
                <w:sz w:val="24"/>
                <w:szCs w:val="24"/>
              </w:rPr>
              <w:t xml:space="preserve"> con</w:t>
            </w:r>
            <w:r w:rsidRPr="00B82F8A">
              <w:rPr>
                <w:rFonts w:ascii="Arial" w:hAnsi="Arial" w:cs="Arial"/>
                <w:sz w:val="24"/>
                <w:szCs w:val="24"/>
              </w:rPr>
              <w:t xml:space="preserve"> los recursos disponibles sin cambios tributarios</w:t>
            </w:r>
            <w:r w:rsidR="004C7F79" w:rsidRPr="00144F4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5F2EA7" w:rsidRDefault="0015245B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Con la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aprobación</w:t>
            </w:r>
            <w:r w:rsidR="00186C8D" w:rsidRPr="00144F43">
              <w:rPr>
                <w:rFonts w:ascii="Arial" w:hAnsi="Arial" w:cs="Arial"/>
                <w:i/>
                <w:sz w:val="24"/>
                <w:szCs w:val="24"/>
              </w:rPr>
              <w:t xml:space="preserve"> de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la rendición de cuentas  2017 y con las nuevas estimaciones de PBI que ha hecho el gobierno</w:t>
            </w:r>
            <w:r w:rsidR="00186C8D" w:rsidRPr="00144F43">
              <w:rPr>
                <w:rFonts w:ascii="Arial" w:hAnsi="Arial" w:cs="Arial"/>
                <w:i/>
                <w:sz w:val="24"/>
                <w:szCs w:val="24"/>
              </w:rPr>
              <w:t xml:space="preserve"> para los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próximos</w:t>
            </w:r>
            <w:r w:rsidR="00186C8D" w:rsidRPr="00144F43">
              <w:rPr>
                <w:rFonts w:ascii="Arial" w:hAnsi="Arial" w:cs="Arial"/>
                <w:i/>
                <w:sz w:val="24"/>
                <w:szCs w:val="24"/>
              </w:rPr>
              <w:t xml:space="preserve"> años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, actualizamos </w:t>
            </w:r>
            <w:r w:rsidR="00186C8D" w:rsidRPr="00144F43">
              <w:rPr>
                <w:rFonts w:ascii="Arial" w:hAnsi="Arial" w:cs="Arial"/>
                <w:i/>
                <w:sz w:val="24"/>
                <w:szCs w:val="24"/>
              </w:rPr>
              <w:t>en este trabajo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 xml:space="preserve">. Ello implica </w:t>
            </w:r>
            <w:r w:rsidR="009D6B9F" w:rsidRPr="00144F43">
              <w:rPr>
                <w:rFonts w:ascii="Arial" w:hAnsi="Arial" w:cs="Arial"/>
                <w:i/>
                <w:sz w:val="24"/>
                <w:szCs w:val="24"/>
              </w:rPr>
              <w:t>c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>onjugar los objetivos definido</w:t>
            </w:r>
            <w:r w:rsidR="00CA166F" w:rsidRPr="00144F43">
              <w:rPr>
                <w:rFonts w:ascii="Arial" w:hAnsi="Arial" w:cs="Arial"/>
                <w:i/>
                <w:sz w:val="24"/>
                <w:szCs w:val="24"/>
              </w:rPr>
              <w:t xml:space="preserve"> que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deberían</w:t>
            </w:r>
            <w:r w:rsidR="00CA166F" w:rsidRPr="00144F43">
              <w:rPr>
                <w:rFonts w:ascii="Arial" w:hAnsi="Arial" w:cs="Arial"/>
                <w:i/>
                <w:sz w:val="24"/>
                <w:szCs w:val="24"/>
              </w:rPr>
              <w:t xml:space="preserve"> aplicarse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el trienio 2018 a 2020 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>con los recursos que se tiene. Y ello debe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decidirse en la rendición de cuentas de </w:t>
            </w:r>
            <w:r w:rsidR="009D6B9F" w:rsidRPr="00144F43">
              <w:rPr>
                <w:rFonts w:ascii="Arial" w:hAnsi="Arial" w:cs="Arial"/>
                <w:i/>
                <w:sz w:val="24"/>
                <w:szCs w:val="24"/>
              </w:rPr>
              <w:t xml:space="preserve">este año </w:t>
            </w:r>
            <w:r w:rsidR="00287737" w:rsidRPr="00144F43">
              <w:rPr>
                <w:rFonts w:ascii="Arial" w:hAnsi="Arial" w:cs="Arial"/>
                <w:i/>
                <w:sz w:val="24"/>
                <w:szCs w:val="24"/>
              </w:rPr>
              <w:t>2017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F716C3" w:rsidRPr="00144F43" w:rsidRDefault="00FA0CDA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Hay que tener en cuenta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además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que los aumentos dispuestos para 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os compromisos sociales 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>fueron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bajos en 2016 y 2017 </w:t>
            </w:r>
            <w:proofErr w:type="gramStart"/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ej</w:t>
            </w:r>
            <w:proofErr w:type="gramEnd"/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>el gasto educativo pasó de 4,57 a 4,91% del PBI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>). Por ejemplo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para llegar al 6% 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los aumentos 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en los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próximos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tres años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deberían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incrementar sensiblemente el ritmo de crecimiento. Para dar una idea el gasto en educación en dos años aumentó a 95 millones de dólares por año y en l</w:t>
            </w:r>
            <w:r w:rsidR="005F2EA7">
              <w:rPr>
                <w:rFonts w:ascii="Arial" w:hAnsi="Arial" w:cs="Arial"/>
                <w:i/>
                <w:sz w:val="24"/>
                <w:szCs w:val="24"/>
              </w:rPr>
              <w:t>os tres años restantes la brecha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presupuestal es del orden de 270 millones por año, es decir casi tres veces más.</w:t>
            </w:r>
          </w:p>
          <w:p w:rsidR="00F716C3" w:rsidRPr="00144F43" w:rsidRDefault="00B3187D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Además</w:t>
            </w:r>
            <w:r w:rsidR="00025BA5" w:rsidRPr="00144F43">
              <w:rPr>
                <w:rFonts w:ascii="Arial" w:hAnsi="Arial" w:cs="Arial"/>
                <w:i/>
                <w:sz w:val="24"/>
                <w:szCs w:val="24"/>
              </w:rPr>
              <w:t xml:space="preserve"> hubo un abatimiento del gasto para este 2017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en la última rendición de cuentas  que afectó a la salud y a la educación principalmente.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421B2" w:rsidRPr="00C421B2" w:rsidRDefault="00F716C3" w:rsidP="00EF1A14">
            <w:pPr>
              <w:pStyle w:val="Textoindependiente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421B2">
              <w:rPr>
                <w:rFonts w:ascii="Arial" w:hAnsi="Arial" w:cs="Arial"/>
                <w:b/>
                <w:i/>
                <w:sz w:val="24"/>
                <w:szCs w:val="24"/>
              </w:rPr>
              <w:t>Los compromisos sociales</w:t>
            </w:r>
            <w:r w:rsidR="00E6122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  <w:p w:rsidR="00F716C3" w:rsidRPr="00C421B2" w:rsidRDefault="00F716C3" w:rsidP="00C421B2">
            <w:pPr>
              <w:pStyle w:val="Textoindependiente"/>
              <w:spacing w:line="360" w:lineRule="auto"/>
              <w:ind w:left="10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C421B2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  <w:p w:rsidR="00E6122A" w:rsidRDefault="00E6122A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El gobierno planteó al comenzar el período una serie de objetivos de gasto social que fueron tomados como un piso de la plataforma del PIT CNT. Ello eran:</w:t>
            </w:r>
          </w:p>
          <w:p w:rsidR="00E6122A" w:rsidRDefault="00E6122A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6% de PBI para educación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lastRenderedPageBreak/>
              <w:t>1% de PBI para I + D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Igualación del gasto de ASSE por persona al de las mutual</w:t>
            </w:r>
            <w:r w:rsidR="006B34CB" w:rsidRPr="00144F43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="006B34CB" w:rsidRPr="00144F43">
              <w:rPr>
                <w:rFonts w:ascii="Arial" w:hAnsi="Arial" w:cs="Arial"/>
                <w:i/>
                <w:sz w:val="24"/>
                <w:szCs w:val="24"/>
              </w:rPr>
              <w:t>tas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Primera etapa del sistema de cuidados</w:t>
            </w:r>
          </w:p>
          <w:p w:rsidR="00F716C3" w:rsidRPr="00144F43" w:rsidRDefault="00E6122A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Los 1.0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>00 millones de dólares (en sus componente 2018 a 20120) de vivienda incluidos en el compromiso de inversiones presupuestales del plan quinquenal de vivienda.</w:t>
            </w:r>
          </w:p>
          <w:p w:rsidR="00E6122A" w:rsidRDefault="00E6122A" w:rsidP="00E6122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122A" w:rsidRDefault="00E6122A" w:rsidP="00E6122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 estas propuestas, el planteo programático presupuestal del PIT CNT en 2015 agregó:</w:t>
            </w:r>
          </w:p>
          <w:p w:rsidR="00E6122A" w:rsidRDefault="00E6122A" w:rsidP="00E6122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E6122A" w:rsidRPr="00144F43" w:rsidRDefault="00E6122A" w:rsidP="00E6122A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Mejora de las transferencias monetarias para los sectores más críticos y nivelación en una única AFAM (asignación familiar) con aumento del tope.</w:t>
            </w:r>
          </w:p>
          <w:p w:rsidR="00557A44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Salario Vacacional para todos los </w:t>
            </w:r>
            <w:r w:rsidR="00E6122A">
              <w:rPr>
                <w:rFonts w:ascii="Arial" w:hAnsi="Arial" w:cs="Arial"/>
                <w:sz w:val="24"/>
                <w:szCs w:val="24"/>
              </w:rPr>
              <w:t>trabajadores de la Administració</w:t>
            </w:r>
            <w:r>
              <w:rPr>
                <w:rFonts w:ascii="Arial" w:hAnsi="Arial" w:cs="Arial"/>
                <w:sz w:val="24"/>
                <w:szCs w:val="24"/>
              </w:rPr>
              <w:t>n Central y Organismos del artículo 220 de la Constitución.</w:t>
            </w:r>
          </w:p>
          <w:p w:rsidR="00557A44" w:rsidRPr="00B82F8A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7A44" w:rsidRPr="00144F43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b/>
                <w:i/>
                <w:sz w:val="24"/>
                <w:szCs w:val="24"/>
              </w:rPr>
              <w:t>Factores permanentes</w:t>
            </w:r>
          </w:p>
          <w:p w:rsidR="00557A44" w:rsidRPr="00B82F8A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F8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557A44" w:rsidRPr="00B82F8A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F8A">
              <w:rPr>
                <w:rFonts w:ascii="Arial" w:hAnsi="Arial" w:cs="Arial"/>
                <w:sz w:val="24"/>
                <w:szCs w:val="24"/>
              </w:rPr>
              <w:t>Similar impacto de los intereses de la deuda pública</w:t>
            </w:r>
          </w:p>
          <w:p w:rsidR="00557A44" w:rsidRPr="00B82F8A" w:rsidRDefault="00557A44" w:rsidP="00557A4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F8A">
              <w:rPr>
                <w:rFonts w:ascii="Arial" w:hAnsi="Arial" w:cs="Arial"/>
                <w:sz w:val="24"/>
                <w:szCs w:val="24"/>
              </w:rPr>
              <w:t>Similar impacto de las transferencias a la seguridad social</w:t>
            </w:r>
            <w:r>
              <w:rPr>
                <w:rFonts w:ascii="Arial" w:hAnsi="Arial" w:cs="Arial"/>
                <w:sz w:val="24"/>
                <w:szCs w:val="24"/>
              </w:rPr>
              <w:t>, en tanto se asume que no habrá cambios estructurales que afecten los recursos entre 2018 y 2020, en las situaciones de la previsión social, incluida la caja militar.</w:t>
            </w:r>
            <w:r w:rsidRPr="00B82F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  <w:p w:rsidR="00F716C3" w:rsidRPr="00144F43" w:rsidRDefault="00F716C3" w:rsidP="00C421B2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144F43">
              <w:rPr>
                <w:rFonts w:ascii="Arial" w:hAnsi="Arial" w:cs="Arial"/>
                <w:b/>
                <w:i/>
                <w:sz w:val="24"/>
                <w:szCs w:val="24"/>
              </w:rPr>
              <w:t>Primeros Resultados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 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Con estos s</w:t>
            </w:r>
            <w:r w:rsidR="00E71809" w:rsidRPr="00144F43">
              <w:rPr>
                <w:rFonts w:ascii="Arial" w:hAnsi="Arial" w:cs="Arial"/>
                <w:i/>
                <w:sz w:val="24"/>
                <w:szCs w:val="24"/>
              </w:rPr>
              <w:t>upuestos los números de 2020 serian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de: 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PBI en miles de pesos 2020     2.356.983.654 </w:t>
            </w:r>
          </w:p>
          <w:p w:rsidR="00C7181B" w:rsidRPr="00B3467B" w:rsidRDefault="00F716C3" w:rsidP="00B3467B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s-AR"/>
              </w:rPr>
            </w:pPr>
            <w:r w:rsidRPr="00144F43">
              <w:rPr>
                <w:rFonts w:ascii="Arial" w:hAnsi="Arial" w:cs="Arial"/>
                <w:i/>
                <w:color w:val="000000"/>
                <w:sz w:val="24"/>
                <w:szCs w:val="24"/>
              </w:rPr>
              <w:t>PBI en miles de dólares            </w:t>
            </w:r>
            <w:r w:rsidR="00B3467B" w:rsidRPr="00B3467B">
              <w:rPr>
                <w:rFonts w:ascii="Arial" w:hAnsi="Arial" w:cs="Arial"/>
                <w:i/>
                <w:color w:val="000000"/>
                <w:sz w:val="24"/>
                <w:szCs w:val="24"/>
              </w:rPr>
              <w:t>59,690,733</w:t>
            </w:r>
          </w:p>
          <w:p w:rsidR="00C421B2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lastRenderedPageBreak/>
              <w:t> 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A partir de estos datos el aumento inercial del gasto público </w:t>
            </w:r>
            <w:proofErr w:type="gramStart"/>
            <w:r w:rsidRPr="00144F43">
              <w:rPr>
                <w:rFonts w:ascii="Arial" w:hAnsi="Arial" w:cs="Arial"/>
                <w:i/>
                <w:sz w:val="24"/>
                <w:szCs w:val="24"/>
              </w:rPr>
              <w:t>ser</w:t>
            </w:r>
            <w:r w:rsidR="00E71809" w:rsidRPr="00144F43">
              <w:rPr>
                <w:rFonts w:ascii="Arial" w:hAnsi="Arial" w:cs="Arial"/>
                <w:i/>
                <w:sz w:val="24"/>
                <w:szCs w:val="24"/>
              </w:rPr>
              <w:t>ian</w:t>
            </w:r>
            <w:proofErr w:type="gramEnd"/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del orden de</w:t>
            </w:r>
            <w:r w:rsidR="00E71809" w:rsidRPr="00144F43">
              <w:rPr>
                <w:rFonts w:ascii="Arial" w:hAnsi="Arial" w:cs="Arial"/>
                <w:i/>
                <w:sz w:val="24"/>
                <w:szCs w:val="24"/>
              </w:rPr>
              <w:t xml:space="preserve"> los mil millones de </w:t>
            </w:r>
            <w:r w:rsidR="00B3187D" w:rsidRPr="00144F43">
              <w:rPr>
                <w:rFonts w:ascii="Arial" w:hAnsi="Arial" w:cs="Arial"/>
                <w:i/>
                <w:sz w:val="24"/>
                <w:szCs w:val="24"/>
              </w:rPr>
              <w:t>dólares</w:t>
            </w:r>
            <w:r w:rsidR="00E71809" w:rsidRPr="00144F43">
              <w:rPr>
                <w:rFonts w:ascii="Arial" w:hAnsi="Arial" w:cs="Arial"/>
                <w:i/>
                <w:sz w:val="24"/>
                <w:szCs w:val="24"/>
              </w:rPr>
              <w:t xml:space="preserve"> pasando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de 14 mil millones a un</w:t>
            </w:r>
            <w:r w:rsidR="00D373B2" w:rsidRPr="00144F43">
              <w:rPr>
                <w:rFonts w:ascii="Arial" w:hAnsi="Arial" w:cs="Arial"/>
                <w:i/>
                <w:sz w:val="24"/>
                <w:szCs w:val="24"/>
              </w:rPr>
              <w:t>os</w:t>
            </w:r>
            <w:r w:rsidRPr="00144F43">
              <w:rPr>
                <w:rFonts w:ascii="Arial" w:hAnsi="Arial" w:cs="Arial"/>
                <w:i/>
                <w:sz w:val="24"/>
                <w:szCs w:val="24"/>
              </w:rPr>
              <w:t xml:space="preserve"> 15 mil millones.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Si ahora sumamos los gastos sociales </w:t>
            </w:r>
            <w:r w:rsidR="005F2EA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 los que se debe llegar en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2020</w:t>
            </w:r>
            <w:r w:rsidR="005F2EA7">
              <w:rPr>
                <w:rFonts w:ascii="Arial" w:hAnsi="Arial" w:cs="Arial"/>
                <w:bCs/>
                <w:i/>
                <w:sz w:val="24"/>
                <w:szCs w:val="24"/>
              </w:rPr>
              <w:t>,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el crecimiento del gasto público </w:t>
            </w:r>
            <w:r w:rsidR="00D373B2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por este concepto seria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de 1.989 millones de dólares. A esto hay que </w:t>
            </w:r>
            <w:r w:rsidR="00D373B2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agregarle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la propuesta de incluir en tres años el salario vacacional que da un</w:t>
            </w:r>
            <w:r w:rsidR="00D373B2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 </w:t>
            </w:r>
            <w:r w:rsidR="00B3187D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estimación</w:t>
            </w:r>
            <w:r w:rsidR="00D373B2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del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orden de 320 millones de dólares</w:t>
            </w:r>
            <w:r w:rsidR="00B05297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B3187D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más</w:t>
            </w:r>
            <w:r w:rsidR="005F2EA7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para el año 2020.</w:t>
            </w:r>
          </w:p>
          <w:p w:rsidR="00F716C3" w:rsidRPr="00144F43" w:rsidRDefault="00B05297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En el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gasto inercial hay que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tener en cuenta el objetivo planteado de r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educir un punto del PBI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en el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déficit fiscal</w:t>
            </w:r>
            <w:r w:rsidR="00CA166F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. Si sumamos 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y </w:t>
            </w:r>
            <w:r w:rsidR="00B3187D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quisiéramos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cumplir con todo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, nos queda un dilema presupuestal del orden de 1800 millones de dólares, lo que implica aumentar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los recursos y/o redistribuir </w:t>
            </w:r>
            <w:proofErr w:type="spellStart"/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presupuestaciones</w:t>
            </w:r>
            <w:proofErr w:type="spellEnd"/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r w:rsidR="00F716C3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 razón de 600 millones por año. Al final del período y comparado con el PBI significa aproximadamente casi 3 puntos.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sz w:val="24"/>
                <w:szCs w:val="24"/>
              </w:rPr>
              <w:t>Se anexa cuadro resumen.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i/>
                <w:noProof/>
                <w:sz w:val="24"/>
                <w:szCs w:val="24"/>
                <w:lang w:eastAsia="es-UY"/>
              </w:rPr>
              <w:drawing>
                <wp:inline distT="0" distB="0" distL="0" distR="0">
                  <wp:extent cx="4838700" cy="22955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16C3" w:rsidRPr="00144F43" w:rsidRDefault="005F2EA7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Dato</w:t>
            </w:r>
            <w:r w:rsidR="00F63480" w:rsidRPr="00144F43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F716C3" w:rsidRPr="00144F43">
              <w:rPr>
                <w:rFonts w:ascii="Arial" w:hAnsi="Arial" w:cs="Arial"/>
                <w:i/>
                <w:sz w:val="24"/>
                <w:szCs w:val="24"/>
              </w:rPr>
              <w:t xml:space="preserve"> los presupuestos de 2018 a 2020 están congelados y por ende de no aprobarse la rendición de cuentas, no habrá aumento presupuestal por tres años, salvo los ajustes por inflación de los salarios y algunos otros aumentos menores previstos.</w:t>
            </w:r>
          </w:p>
          <w:p w:rsidR="008224D8" w:rsidRPr="00144F43" w:rsidRDefault="008224D8" w:rsidP="00EF1A14">
            <w:pPr>
              <w:pStyle w:val="Textoindependiente"/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F716C3" w:rsidRPr="00144F43" w:rsidRDefault="00F63480" w:rsidP="008224D8">
            <w:pPr>
              <w:pStyle w:val="Textoindependiente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Algunas </w:t>
            </w:r>
            <w:r w:rsidR="00F716C3" w:rsidRPr="00144F43">
              <w:rPr>
                <w:rFonts w:ascii="Arial" w:hAnsi="Arial" w:cs="Arial"/>
                <w:b/>
                <w:i/>
                <w:sz w:val="24"/>
                <w:szCs w:val="24"/>
              </w:rPr>
              <w:t>alternativas para superar el dilema presupuestal </w:t>
            </w:r>
          </w:p>
          <w:p w:rsidR="00F716C3" w:rsidRPr="00144F43" w:rsidRDefault="00F716C3" w:rsidP="00EF1A14">
            <w:pPr>
              <w:pStyle w:val="Textoindependiente"/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8224D8" w:rsidP="008224D8">
            <w:pPr>
              <w:pStyle w:val="Prrafodelista"/>
              <w:numPr>
                <w:ilvl w:val="1"/>
                <w:numId w:val="5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) </w:t>
            </w:r>
            <w:r w:rsidR="00F716C3"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Redistribución de Gastos.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Una primera alternativa  se refiere a incrementar los gastos sociales previstos reduciendo gastos de otros incisos.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Si bien consideramos que </w:t>
            </w:r>
            <w:r w:rsidR="00F76A0E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los espacios de </w:t>
            </w:r>
            <w:r w:rsidR="00B3187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redistribución</w:t>
            </w:r>
            <w:r w:rsidR="00F76A0E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son escasos ya que los gastos presupuestales son muy </w:t>
            </w:r>
            <w:r w:rsidR="00B3187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rígidos</w:t>
            </w:r>
            <w:r w:rsidR="00E96AB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,</w:t>
            </w:r>
            <w:r w:rsidR="009D2748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E96AB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no </w:t>
            </w:r>
            <w:r w:rsidR="00B3187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deberíamos</w:t>
            </w:r>
            <w:r w:rsidR="00E96AB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rechazar esta posibilidad que complementaria de otras iniciativas, puede bien ser una </w:t>
            </w:r>
            <w:r w:rsidR="00B3187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opción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. Es de hacer notar que</w:t>
            </w:r>
            <w:r w:rsidR="00F76A0E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9D2748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hay una parte del gasto que ni siquiera ingresa en el debate presupuestal ya que integra los gastos financieros y se refiere a las transferencias a la seguridad social, a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9D2748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as transferencias al</w:t>
            </w:r>
            <w:r w:rsidR="009D2748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FONASA, los intereses que se pagan por la deuda pública y subsidios a ciertas actividades de la sociedad civil. Dichos gastos rep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resentan el 35% del presupuesto</w:t>
            </w:r>
            <w:r w:rsidR="00F76A0E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. 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noProof/>
                <w:color w:val="000000"/>
                <w:sz w:val="24"/>
                <w:szCs w:val="24"/>
                <w:lang w:eastAsia="es-UY"/>
              </w:rPr>
              <w:drawing>
                <wp:inline distT="0" distB="0" distL="0" distR="0">
                  <wp:extent cx="3524250" cy="1905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Si sumamos más de 100 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mil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millones de pesos del rubro de salarios y 25 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mil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millones de inversiones más el gasto de funcionamiento asignado a la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función social, llegamos a más d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el 90% del gasto público, lo que muestra </w:t>
            </w:r>
            <w:r w:rsidR="003529BE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las dificultades para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la redistribución del gasto.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006A97" w:rsidP="008224D8">
            <w:pPr>
              <w:pStyle w:val="Prrafodelista"/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R</w:t>
            </w:r>
            <w:r w:rsidR="00F716C3"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educir el déficit fiscal en una menor proporción.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De no plantearse de 2018 a 2020 reducir el déficit en un punto del producto los recursos adicionales serían de 500 millones de dólares al final del trienio. Si se tomara una solución intermedia de baja a 3% y no a 2,5% los re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cursos adicionales serían de 250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millones de dólares.</w:t>
            </w:r>
          </w:p>
          <w:p w:rsidR="00F716C3" w:rsidRPr="00144F43" w:rsidRDefault="00B3187D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Habría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que estudiar l</w:t>
            </w:r>
            <w:r w:rsidR="006E5076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a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s posibles </w:t>
            </w:r>
            <w:r w:rsidR="006E5076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consecuencias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de reducir menos el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déficit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, ya que el mismo se financia con deuda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pública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que hoy es el 61</w:t>
            </w:r>
            <w:r w:rsidR="00F716C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% del PBI y d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 no reducir </w:t>
            </w:r>
            <w:r w:rsidR="00F716C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tendría </w:t>
            </w:r>
            <w:r w:rsidR="00006A97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una </w:t>
            </w:r>
            <w:r w:rsidR="00F716C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presión al alza.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lastRenderedPageBreak/>
              <w:t xml:space="preserve">Ello implica riesgos en el financiamiento del país que es necesario evaluar. </w:t>
            </w:r>
            <w:r w:rsidR="006E5076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Aunque e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n principio 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consideramos que </w:t>
            </w:r>
            <w:r w:rsidR="006E5076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no </w:t>
            </w:r>
            <w:r w:rsidR="005F2EA7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hay riesgo de</w:t>
            </w:r>
            <w:r w:rsidR="006E5076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incremento en los costos del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endeudamiento.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8224D8">
            <w:pPr>
              <w:pStyle w:val="Prrafodelista"/>
              <w:numPr>
                <w:ilvl w:val="1"/>
                <w:numId w:val="7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Aumento de impuestos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En documentos previos el PIT CNT había realizado propuestas de aumento de impuestos.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>Los fundamentos se basaban en que por un lado el país tenía margen para el aumento de la presión tributaria que es del 31% sobre PBI (Argentina es cerca de 34, Brasil 37%) y además que estaba muy mal distribuida, en especial en lo que se refiere al peso relativo de los impuestos al trabajo respecto al peso de los impuestos al capital.</w:t>
            </w:r>
          </w:p>
          <w:p w:rsidR="00C421B2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>En función de ello sintetizamos aquí las propuestas realizadas:</w:t>
            </w:r>
          </w:p>
          <w:p w:rsidR="00C421B2" w:rsidRDefault="00C421B2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b/>
                <w:i/>
              </w:rPr>
            </w:pPr>
            <w:r w:rsidRPr="00144F43">
              <w:rPr>
                <w:rFonts w:ascii="Arial" w:hAnsi="Arial" w:cs="Arial"/>
                <w:b/>
                <w:i/>
              </w:rPr>
              <w:t>a) Aumento de Impuesto al Patrimonio</w:t>
            </w:r>
          </w:p>
          <w:p w:rsidR="00163F5B" w:rsidRPr="00144F43" w:rsidRDefault="00163F5B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>Hoy su recaudación es de tan sólo el 6% del total de impuestos y a su vez en el caso de las personas físicas está prevista reducir la tasa de aportación 0,1% por año, hasta llegar a 0,1% como tasa en 2020.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 xml:space="preserve">Por otra parte se paga sobre aforos que están en general </w:t>
            </w:r>
            <w:proofErr w:type="spellStart"/>
            <w:r w:rsidRPr="00144F43">
              <w:rPr>
                <w:rFonts w:ascii="Arial" w:hAnsi="Arial" w:cs="Arial"/>
                <w:i/>
              </w:rPr>
              <w:t>sub</w:t>
            </w:r>
            <w:r w:rsidR="00B3187D" w:rsidRPr="00144F43">
              <w:rPr>
                <w:rFonts w:ascii="Arial" w:hAnsi="Arial" w:cs="Arial"/>
                <w:i/>
              </w:rPr>
              <w:t>e</w:t>
            </w:r>
            <w:r w:rsidRPr="00144F43">
              <w:rPr>
                <w:rFonts w:ascii="Arial" w:hAnsi="Arial" w:cs="Arial"/>
                <w:i/>
              </w:rPr>
              <w:t>valuados</w:t>
            </w:r>
            <w:proofErr w:type="spellEnd"/>
            <w:r w:rsidRPr="00144F43">
              <w:rPr>
                <w:rFonts w:ascii="Arial" w:hAnsi="Arial" w:cs="Arial"/>
                <w:i/>
              </w:rPr>
              <w:t xml:space="preserve"> por su </w:t>
            </w:r>
            <w:r w:rsidR="00C644AD" w:rsidRPr="00144F43">
              <w:rPr>
                <w:rFonts w:ascii="Arial" w:hAnsi="Arial" w:cs="Arial"/>
                <w:i/>
              </w:rPr>
              <w:t>des actualización</w:t>
            </w:r>
            <w:r w:rsidRPr="00144F43">
              <w:rPr>
                <w:rFonts w:ascii="Arial" w:hAnsi="Arial" w:cs="Arial"/>
                <w:i/>
              </w:rPr>
              <w:t>.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 xml:space="preserve">Al mismo tiempo en el caso del patrimonio </w:t>
            </w:r>
            <w:r w:rsidR="0031600F" w:rsidRPr="00144F43">
              <w:rPr>
                <w:rFonts w:ascii="Arial" w:hAnsi="Arial" w:cs="Arial"/>
                <w:i/>
              </w:rPr>
              <w:t xml:space="preserve">a la </w:t>
            </w:r>
            <w:r w:rsidRPr="00144F43">
              <w:rPr>
                <w:rFonts w:ascii="Arial" w:hAnsi="Arial" w:cs="Arial"/>
                <w:i/>
              </w:rPr>
              <w:t>tierra el mínimo no imponible a partir del que se paga es muy alto (un millón y medio de dólares)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>Finalmente el impuesto tiene muy amplias exoneraciones cuyo valor equivale a más del 100% de lo que recauda el impuesto.</w:t>
            </w:r>
          </w:p>
          <w:p w:rsidR="00F716C3" w:rsidRPr="00144F43" w:rsidRDefault="0031600F" w:rsidP="0031600F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 xml:space="preserve">Si se corrigiera o detuvieran algunas de estas inequidades </w:t>
            </w:r>
            <w:r w:rsidR="00C644AD" w:rsidRPr="00144F43">
              <w:rPr>
                <w:rFonts w:ascii="Arial" w:hAnsi="Arial" w:cs="Arial"/>
                <w:i/>
              </w:rPr>
              <w:t>podríamos</w:t>
            </w:r>
            <w:r w:rsidRPr="00144F43">
              <w:rPr>
                <w:rFonts w:ascii="Arial" w:hAnsi="Arial" w:cs="Arial"/>
                <w:i/>
              </w:rPr>
              <w:t xml:space="preserve"> tener un Impuesto al Patrimonio </w:t>
            </w:r>
            <w:r w:rsidR="00C644AD" w:rsidRPr="00144F43">
              <w:rPr>
                <w:rFonts w:ascii="Arial" w:hAnsi="Arial" w:cs="Arial"/>
                <w:i/>
              </w:rPr>
              <w:t>más</w:t>
            </w:r>
            <w:r w:rsidRPr="00144F43">
              <w:rPr>
                <w:rFonts w:ascii="Arial" w:hAnsi="Arial" w:cs="Arial"/>
                <w:i/>
              </w:rPr>
              <w:t xml:space="preserve"> justo y sin tantos agujeros que lo terminan desvirtuando.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163F5B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b/>
                <w:i/>
              </w:rPr>
            </w:pPr>
            <w:r w:rsidRPr="00144F43">
              <w:rPr>
                <w:rFonts w:ascii="Arial" w:hAnsi="Arial" w:cs="Arial"/>
                <w:b/>
                <w:i/>
              </w:rPr>
              <w:t xml:space="preserve">b) </w:t>
            </w:r>
            <w:r w:rsidR="00163F5B" w:rsidRPr="00144F43">
              <w:rPr>
                <w:rFonts w:ascii="Arial" w:hAnsi="Arial" w:cs="Arial"/>
                <w:b/>
                <w:i/>
              </w:rPr>
              <w:t>IRAE</w:t>
            </w:r>
          </w:p>
          <w:p w:rsidR="00163F5B" w:rsidRPr="00144F43" w:rsidRDefault="00163F5B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31600F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>Incrementar la tasa del IRAE</w:t>
            </w:r>
            <w:r w:rsidR="00F716C3" w:rsidRPr="00144F43">
              <w:rPr>
                <w:rFonts w:ascii="Arial" w:hAnsi="Arial" w:cs="Arial"/>
                <w:i/>
              </w:rPr>
              <w:t xml:space="preserve"> del 25 al 30%</w:t>
            </w:r>
            <w:r w:rsidRPr="00144F43">
              <w:rPr>
                <w:rFonts w:ascii="Arial" w:hAnsi="Arial" w:cs="Arial"/>
                <w:i/>
              </w:rPr>
              <w:t>.</w:t>
            </w:r>
            <w:r w:rsidR="00F716C3" w:rsidRPr="00144F43">
              <w:rPr>
                <w:rFonts w:ascii="Arial" w:hAnsi="Arial" w:cs="Arial"/>
                <w:i/>
              </w:rPr>
              <w:t xml:space="preserve"> </w:t>
            </w:r>
          </w:p>
          <w:p w:rsidR="00F716C3" w:rsidRPr="00144F43" w:rsidRDefault="00F716C3" w:rsidP="00EF1A14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163F5B" w:rsidRPr="00144F43" w:rsidRDefault="00163F5B" w:rsidP="00163F5B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b/>
                <w:i/>
              </w:rPr>
            </w:pPr>
            <w:r w:rsidRPr="00144F43">
              <w:rPr>
                <w:rFonts w:ascii="Arial" w:hAnsi="Arial" w:cs="Arial"/>
                <w:b/>
                <w:i/>
              </w:rPr>
              <w:t>c)IRPF Categoría I</w:t>
            </w:r>
          </w:p>
          <w:p w:rsidR="00163F5B" w:rsidRPr="00144F43" w:rsidRDefault="00163F5B" w:rsidP="00163F5B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31600F" w:rsidP="00163F5B">
            <w:pPr>
              <w:pStyle w:val="Standard"/>
              <w:spacing w:after="120" w:line="360" w:lineRule="auto"/>
              <w:ind w:right="556"/>
              <w:jc w:val="both"/>
              <w:rPr>
                <w:rFonts w:ascii="Arial" w:hAnsi="Arial" w:cs="Arial"/>
                <w:i/>
              </w:rPr>
            </w:pPr>
            <w:r w:rsidRPr="00144F43">
              <w:rPr>
                <w:rFonts w:ascii="Arial" w:hAnsi="Arial" w:cs="Arial"/>
                <w:i/>
              </w:rPr>
              <w:t xml:space="preserve">Evaluar </w:t>
            </w:r>
            <w:r w:rsidR="00F716C3" w:rsidRPr="00144F43">
              <w:rPr>
                <w:rFonts w:ascii="Arial" w:hAnsi="Arial" w:cs="Arial"/>
                <w:i/>
              </w:rPr>
              <w:t xml:space="preserve"> las tasas del IRPF categoría I (rentas del capital) </w:t>
            </w:r>
            <w:r w:rsidR="00C644AD" w:rsidRPr="00144F43">
              <w:rPr>
                <w:rFonts w:ascii="Arial" w:hAnsi="Arial" w:cs="Arial"/>
                <w:i/>
              </w:rPr>
              <w:t>dándole</w:t>
            </w:r>
            <w:r w:rsidR="003409AA" w:rsidRPr="00144F4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716C3" w:rsidRPr="00144F43">
              <w:rPr>
                <w:rFonts w:ascii="Arial" w:hAnsi="Arial" w:cs="Arial"/>
                <w:i/>
              </w:rPr>
              <w:t>progresionalidad</w:t>
            </w:r>
            <w:proofErr w:type="spellEnd"/>
            <w:r w:rsidR="00F716C3" w:rsidRPr="00144F43">
              <w:rPr>
                <w:rFonts w:ascii="Arial" w:hAnsi="Arial" w:cs="Arial"/>
                <w:i/>
              </w:rPr>
              <w:t xml:space="preserve"> al impuesto.</w:t>
            </w:r>
          </w:p>
          <w:p w:rsidR="00F716C3" w:rsidRPr="00144F43" w:rsidRDefault="00F716C3" w:rsidP="00EF1A14">
            <w:pPr>
              <w:pStyle w:val="Standard"/>
              <w:spacing w:line="360" w:lineRule="auto"/>
              <w:ind w:left="567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F716C3" w:rsidP="00EF1A14">
            <w:pPr>
              <w:pStyle w:val="Standard"/>
              <w:spacing w:line="360" w:lineRule="auto"/>
              <w:ind w:left="567"/>
              <w:jc w:val="both"/>
              <w:rPr>
                <w:rFonts w:ascii="Arial" w:hAnsi="Arial" w:cs="Arial"/>
                <w:i/>
              </w:rPr>
            </w:pPr>
          </w:p>
          <w:p w:rsidR="00F716C3" w:rsidRPr="00144F43" w:rsidRDefault="00F716C3" w:rsidP="008224D8">
            <w:pPr>
              <w:pStyle w:val="Standard"/>
              <w:numPr>
                <w:ilvl w:val="1"/>
                <w:numId w:val="7"/>
              </w:numPr>
              <w:spacing w:line="360" w:lineRule="auto"/>
              <w:jc w:val="both"/>
              <w:rPr>
                <w:rFonts w:ascii="Arial" w:hAnsi="Arial" w:cs="Arial"/>
                <w:b/>
                <w:i/>
              </w:rPr>
            </w:pPr>
            <w:r w:rsidRPr="00144F43">
              <w:rPr>
                <w:rFonts w:ascii="Arial" w:hAnsi="Arial" w:cs="Arial"/>
                <w:b/>
                <w:i/>
              </w:rPr>
              <w:t>El uso de las reservas</w:t>
            </w:r>
          </w:p>
          <w:p w:rsidR="00F716C3" w:rsidRPr="00144F43" w:rsidRDefault="00F716C3" w:rsidP="00EF1A14">
            <w:pPr>
              <w:pStyle w:val="Standard"/>
              <w:spacing w:line="360" w:lineRule="auto"/>
              <w:ind w:left="567"/>
              <w:jc w:val="both"/>
              <w:rPr>
                <w:rFonts w:ascii="Arial" w:hAnsi="Arial" w:cs="Arial"/>
                <w:b/>
                <w:i/>
              </w:rPr>
            </w:pPr>
          </w:p>
          <w:p w:rsidR="00F716C3" w:rsidRPr="00144F43" w:rsidRDefault="00F716C3" w:rsidP="00EF1A14">
            <w:pPr>
              <w:pStyle w:val="Textbody"/>
              <w:tabs>
                <w:tab w:val="left" w:pos="1134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F716C3" w:rsidRPr="00144F43" w:rsidRDefault="00F716C3" w:rsidP="00EF1A14">
            <w:pPr>
              <w:pStyle w:val="Textbody"/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En un documento anterior planteábamos </w:t>
            </w:r>
            <w:r w:rsidR="009F7365" w:rsidRPr="00144F43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la posibilidad </w:t>
            </w:r>
            <w:r w:rsidRPr="00144F43">
              <w:rPr>
                <w:rFonts w:ascii="Arial" w:hAnsi="Arial" w:cs="Arial"/>
                <w:bCs/>
                <w:i/>
                <w:sz w:val="24"/>
                <w:szCs w:val="24"/>
              </w:rPr>
              <w:t>el uso de reservas para contribuir al dilema presupuestal.</w:t>
            </w:r>
          </w:p>
          <w:p w:rsidR="00F716C3" w:rsidRPr="00144F43" w:rsidRDefault="00F716C3" w:rsidP="002020F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La dotación actual de reservas y los indicadores financieros del</w:t>
            </w:r>
            <w:r w:rsidR="002020F1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país 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se mantienen robustos los que </w:t>
            </w:r>
            <w:r w:rsidR="002020F1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posibilita 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estudiar que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un porcentaje 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menor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de las reservas 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puedan ser destinadas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para realizar inversiones por única vez y 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contribuir a los recursos necesarios que necesitamos</w:t>
            </w:r>
            <w:r w:rsidR="00C421B2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,</w:t>
            </w:r>
            <w:r w:rsidR="009F7365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por ejemplo en infraestructura.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8224D8" w:rsidRPr="00144F43" w:rsidRDefault="008224D8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D072F1" w:rsidP="008224D8">
            <w:pPr>
              <w:pStyle w:val="Prrafodelist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Exoneraciones de Impuestos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Finalmente  es necesario abordar </w:t>
            </w:r>
            <w:r w:rsidR="00D072F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un tema que, aunque no tenga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incidencia inmediata en la coyuntura del dilema</w:t>
            </w:r>
            <w:r w:rsidR="00D072F1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presupuestal puede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influir en plazos más largos.</w:t>
            </w:r>
          </w:p>
          <w:p w:rsidR="00F716C3" w:rsidRPr="00144F43" w:rsidRDefault="00D072F1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El tema s</w:t>
            </w:r>
            <w:r w:rsidR="00F716C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 refiere al análisis de las exoneraciones </w:t>
            </w:r>
            <w:r w:rsidR="00A16D81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y adicionales que existen </w:t>
            </w:r>
            <w:r w:rsidR="00F716C3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en el marco de la ley de inversiones</w:t>
            </w:r>
            <w:r w:rsidR="00A16D81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y </w:t>
            </w:r>
            <w:r w:rsidR="00457EA4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de zonas francas y otras excepciones.</w:t>
            </w: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El volumen de recursos que se pierden </w:t>
            </w:r>
            <w:r w:rsidR="00A16D81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o renunciamos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por </w:t>
            </w:r>
            <w:r w:rsidR="00EA5BA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estas 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exoneraciones al capital (IRAE, Patrimonio e IRPF al capital) es aproximad</w:t>
            </w:r>
            <w:r w:rsidR="007D09CC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amente de 1.4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00 millones de d</w:t>
            </w:r>
            <w:r w:rsidR="007206FB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ólares, como muestra el cuadro.</w:t>
            </w:r>
          </w:p>
          <w:p w:rsidR="007206FB" w:rsidRPr="00144F43" w:rsidRDefault="007D09CC" w:rsidP="00EF1A14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noProof/>
                <w:color w:val="000000"/>
                <w:sz w:val="24"/>
                <w:szCs w:val="24"/>
                <w:lang w:eastAsia="es-UY"/>
              </w:rPr>
              <w:lastRenderedPageBreak/>
              <w:drawing>
                <wp:inline distT="0" distB="0" distL="0" distR="0">
                  <wp:extent cx="4829175" cy="15811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CC" w:rsidRPr="00144F43" w:rsidRDefault="007D09CC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EA5BAD" w:rsidRPr="00144F43" w:rsidRDefault="00EA5BAD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Estas renuncias </w:t>
            </w:r>
            <w:r w:rsidR="00C644AD"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>podían</w:t>
            </w:r>
            <w:r w:rsidRPr="00144F4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  <w:t xml:space="preserve"> ser justificadas en el marco de crisis muy profundas como la del 2002 que obligaba a grandes sacrificios, pero por suerte esta no es la realidad de hoy.</w:t>
            </w:r>
          </w:p>
          <w:p w:rsidR="00EA5BAD" w:rsidRPr="00144F43" w:rsidRDefault="00EA5BAD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716C3" w:rsidRPr="00144F43" w:rsidRDefault="00F716C3" w:rsidP="00EF1A14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BD40D5" w:rsidRPr="00144F43" w:rsidRDefault="00BD40D5" w:rsidP="00F716C3">
      <w:pPr>
        <w:rPr>
          <w:rFonts w:ascii="Arial" w:hAnsi="Arial" w:cs="Arial"/>
        </w:rPr>
      </w:pPr>
    </w:p>
    <w:sectPr w:rsidR="00BD40D5" w:rsidRPr="00144F43" w:rsidSect="00B2461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64" w:right="720" w:bottom="764" w:left="72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7D" w:rsidRDefault="004D507D">
      <w:pPr>
        <w:spacing w:after="0" w:line="240" w:lineRule="auto"/>
      </w:pPr>
      <w:r>
        <w:separator/>
      </w:r>
    </w:p>
  </w:endnote>
  <w:endnote w:type="continuationSeparator" w:id="0">
    <w:p w:rsidR="004D507D" w:rsidRDefault="004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charset w:val="00"/>
    <w:family w:val="roman"/>
    <w:pitch w:val="default"/>
  </w:font>
  <w:font w:name="Lohit Hindi">
    <w:charset w:val="00"/>
    <w:family w:val="roman"/>
    <w:pitch w:val="default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457E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C7181B">
    <w:pPr>
      <w:pStyle w:val="Piedepgina"/>
      <w:jc w:val="right"/>
    </w:pPr>
    <w:r>
      <w:fldChar w:fldCharType="begin"/>
    </w:r>
    <w:r w:rsidR="001C705A">
      <w:instrText xml:space="preserve"> PAGE </w:instrText>
    </w:r>
    <w:r>
      <w:fldChar w:fldCharType="separate"/>
    </w:r>
    <w:r w:rsidR="00457EA4">
      <w:rPr>
        <w:noProof/>
      </w:rPr>
      <w:t>7</w:t>
    </w:r>
    <w:r>
      <w:fldChar w:fldCharType="end"/>
    </w:r>
  </w:p>
  <w:p w:rsidR="007827E2" w:rsidRDefault="00457EA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457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7D" w:rsidRDefault="004D507D">
      <w:pPr>
        <w:spacing w:after="0" w:line="240" w:lineRule="auto"/>
      </w:pPr>
      <w:r>
        <w:separator/>
      </w:r>
    </w:p>
  </w:footnote>
  <w:footnote w:type="continuationSeparator" w:id="0">
    <w:p w:rsidR="004D507D" w:rsidRDefault="004D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457E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E2" w:rsidRDefault="00457E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Arial"/>
        <w:b/>
        <w:bCs/>
        <w:sz w:val="24"/>
        <w:szCs w:val="24"/>
      </w:rPr>
    </w:lvl>
  </w:abstractNum>
  <w:abstractNum w:abstractNumId="1">
    <w:nsid w:val="06482145"/>
    <w:multiLevelType w:val="hybridMultilevel"/>
    <w:tmpl w:val="D9286A3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71757"/>
    <w:multiLevelType w:val="hybridMultilevel"/>
    <w:tmpl w:val="FA0A0E3C"/>
    <w:lvl w:ilvl="0" w:tplc="3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6066A"/>
    <w:multiLevelType w:val="multilevel"/>
    <w:tmpl w:val="7A965AD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765B75"/>
    <w:multiLevelType w:val="multilevel"/>
    <w:tmpl w:val="D8DACF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487260"/>
    <w:multiLevelType w:val="hybridMultilevel"/>
    <w:tmpl w:val="C74EA7A0"/>
    <w:lvl w:ilvl="0" w:tplc="1E62E2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50C1"/>
    <w:multiLevelType w:val="multilevel"/>
    <w:tmpl w:val="63DA0D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E67F0F"/>
    <w:multiLevelType w:val="hybridMultilevel"/>
    <w:tmpl w:val="7F0C7B46"/>
    <w:lvl w:ilvl="0" w:tplc="BB82EF3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FAD98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E4D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C5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A9F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1E4B9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8CB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651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9492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6C3"/>
    <w:rsid w:val="00006A97"/>
    <w:rsid w:val="00025BA5"/>
    <w:rsid w:val="000527C6"/>
    <w:rsid w:val="000C6258"/>
    <w:rsid w:val="00144F43"/>
    <w:rsid w:val="0015245B"/>
    <w:rsid w:val="00163F5B"/>
    <w:rsid w:val="00186C8D"/>
    <w:rsid w:val="001C705A"/>
    <w:rsid w:val="002020F1"/>
    <w:rsid w:val="00223941"/>
    <w:rsid w:val="0023007F"/>
    <w:rsid w:val="00287737"/>
    <w:rsid w:val="0031600F"/>
    <w:rsid w:val="003409AA"/>
    <w:rsid w:val="003529BE"/>
    <w:rsid w:val="00354108"/>
    <w:rsid w:val="003A01BA"/>
    <w:rsid w:val="00457EA4"/>
    <w:rsid w:val="004C7F79"/>
    <w:rsid w:val="004D507D"/>
    <w:rsid w:val="00557A44"/>
    <w:rsid w:val="005F2EA7"/>
    <w:rsid w:val="00643A19"/>
    <w:rsid w:val="006B34CB"/>
    <w:rsid w:val="006E5076"/>
    <w:rsid w:val="007206FB"/>
    <w:rsid w:val="007A676E"/>
    <w:rsid w:val="007D09CC"/>
    <w:rsid w:val="007F1E4F"/>
    <w:rsid w:val="008224D8"/>
    <w:rsid w:val="008C22F1"/>
    <w:rsid w:val="00901351"/>
    <w:rsid w:val="009D2748"/>
    <w:rsid w:val="009D6B9F"/>
    <w:rsid w:val="009F7365"/>
    <w:rsid w:val="00A16D81"/>
    <w:rsid w:val="00A40144"/>
    <w:rsid w:val="00AB3CCB"/>
    <w:rsid w:val="00B05297"/>
    <w:rsid w:val="00B24619"/>
    <w:rsid w:val="00B3187D"/>
    <w:rsid w:val="00B3467B"/>
    <w:rsid w:val="00BC286D"/>
    <w:rsid w:val="00BD2F45"/>
    <w:rsid w:val="00BD40D5"/>
    <w:rsid w:val="00BE6592"/>
    <w:rsid w:val="00C13F3B"/>
    <w:rsid w:val="00C421B2"/>
    <w:rsid w:val="00C644AD"/>
    <w:rsid w:val="00C7181B"/>
    <w:rsid w:val="00CA166F"/>
    <w:rsid w:val="00D072F1"/>
    <w:rsid w:val="00D373B2"/>
    <w:rsid w:val="00D50BC0"/>
    <w:rsid w:val="00D713BB"/>
    <w:rsid w:val="00E273C7"/>
    <w:rsid w:val="00E47563"/>
    <w:rsid w:val="00E6122A"/>
    <w:rsid w:val="00E71809"/>
    <w:rsid w:val="00E96AB3"/>
    <w:rsid w:val="00EA5BAD"/>
    <w:rsid w:val="00F073FB"/>
    <w:rsid w:val="00F63480"/>
    <w:rsid w:val="00F716C3"/>
    <w:rsid w:val="00F76A0E"/>
    <w:rsid w:val="00FA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716C3"/>
    <w:pPr>
      <w:widowControl w:val="0"/>
      <w:suppressAutoHyphens/>
      <w:spacing w:after="0" w:line="240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rsid w:val="00F716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16C3"/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uiPriority w:val="34"/>
    <w:qFormat/>
    <w:rsid w:val="00F716C3"/>
    <w:pPr>
      <w:ind w:left="720"/>
    </w:pPr>
  </w:style>
  <w:style w:type="paragraph" w:styleId="Encabezado">
    <w:name w:val="header"/>
    <w:basedOn w:val="Normal"/>
    <w:link w:val="EncabezadoCar"/>
    <w:rsid w:val="00F716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16C3"/>
    <w:rPr>
      <w:rFonts w:ascii="Calibri" w:eastAsia="Calibri" w:hAnsi="Calibri" w:cs="Times New Roman"/>
      <w:lang w:eastAsia="ar-SA"/>
    </w:rPr>
  </w:style>
  <w:style w:type="paragraph" w:styleId="Piedepgina">
    <w:name w:val="footer"/>
    <w:basedOn w:val="Normal"/>
    <w:link w:val="PiedepginaCar"/>
    <w:rsid w:val="00F716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16C3"/>
    <w:rPr>
      <w:rFonts w:ascii="Calibri" w:eastAsia="Calibri" w:hAnsi="Calibri" w:cs="Times New Roman"/>
      <w:lang w:eastAsia="ar-SA"/>
    </w:rPr>
  </w:style>
  <w:style w:type="paragraph" w:customStyle="1" w:styleId="Textbody">
    <w:name w:val="Text body"/>
    <w:basedOn w:val="Standard"/>
    <w:rsid w:val="00F716C3"/>
    <w:pPr>
      <w:widowControl/>
      <w:autoSpaceDN w:val="0"/>
      <w:spacing w:after="120" w:line="276" w:lineRule="auto"/>
    </w:pPr>
    <w:rPr>
      <w:rFonts w:ascii="Calibri" w:eastAsia="SimSun, 宋体" w:hAnsi="Calibri" w:cs="Tahoma"/>
      <w:kern w:val="3"/>
      <w:sz w:val="22"/>
      <w:szCs w:val="22"/>
      <w:lang w:val="es-AR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C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6C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716C3"/>
    <w:pPr>
      <w:widowControl w:val="0"/>
      <w:suppressAutoHyphens/>
      <w:spacing w:after="0" w:line="240" w:lineRule="auto"/>
      <w:textAlignment w:val="baseline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Textoindependiente">
    <w:name w:val="Body Text"/>
    <w:basedOn w:val="Normal"/>
    <w:link w:val="TextoindependienteCar"/>
    <w:rsid w:val="00F716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716C3"/>
    <w:rPr>
      <w:rFonts w:ascii="Calibri" w:eastAsia="Calibri" w:hAnsi="Calibri" w:cs="Times New Roman"/>
      <w:lang w:eastAsia="ar-SA"/>
    </w:rPr>
  </w:style>
  <w:style w:type="paragraph" w:styleId="Prrafodelista">
    <w:name w:val="List Paragraph"/>
    <w:basedOn w:val="Normal"/>
    <w:qFormat/>
    <w:rsid w:val="00F716C3"/>
    <w:pPr>
      <w:ind w:left="720"/>
    </w:pPr>
  </w:style>
  <w:style w:type="paragraph" w:styleId="Encabezado">
    <w:name w:val="header"/>
    <w:basedOn w:val="Normal"/>
    <w:link w:val="EncabezadoCar"/>
    <w:rsid w:val="00F716C3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F716C3"/>
    <w:rPr>
      <w:rFonts w:ascii="Calibri" w:eastAsia="Calibri" w:hAnsi="Calibri" w:cs="Times New Roman"/>
      <w:lang w:val="x-none" w:eastAsia="ar-SA"/>
    </w:rPr>
  </w:style>
  <w:style w:type="paragraph" w:styleId="Piedepgina">
    <w:name w:val="footer"/>
    <w:basedOn w:val="Normal"/>
    <w:link w:val="PiedepginaCar"/>
    <w:rsid w:val="00F716C3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rsid w:val="00F716C3"/>
    <w:rPr>
      <w:rFonts w:ascii="Calibri" w:eastAsia="Calibri" w:hAnsi="Calibri" w:cs="Times New Roman"/>
      <w:lang w:val="x-none" w:eastAsia="ar-SA"/>
    </w:rPr>
  </w:style>
  <w:style w:type="paragraph" w:customStyle="1" w:styleId="Textbody">
    <w:name w:val="Text body"/>
    <w:basedOn w:val="Standard"/>
    <w:rsid w:val="00F716C3"/>
    <w:pPr>
      <w:widowControl/>
      <w:autoSpaceDN w:val="0"/>
      <w:spacing w:after="120" w:line="276" w:lineRule="auto"/>
    </w:pPr>
    <w:rPr>
      <w:rFonts w:ascii="Calibri" w:eastAsia="SimSun, 宋体" w:hAnsi="Calibri" w:cs="Tahoma"/>
      <w:kern w:val="3"/>
      <w:sz w:val="22"/>
      <w:szCs w:val="22"/>
      <w:lang w:val="es-AR" w:eastAsia="zh-CN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C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76B2-B264-476B-8B8B-9E8D019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Ali-Dani</dc:creator>
  <cp:lastModifiedBy>Ali-Dani</cp:lastModifiedBy>
  <cp:revision>5</cp:revision>
  <dcterms:created xsi:type="dcterms:W3CDTF">2017-05-16T21:02:00Z</dcterms:created>
  <dcterms:modified xsi:type="dcterms:W3CDTF">2017-05-16T22:24:00Z</dcterms:modified>
</cp:coreProperties>
</file>